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21" w:rsidRPr="00E06DA9" w:rsidRDefault="00EE2721" w:rsidP="00EE2721">
      <w:pPr>
        <w:pStyle w:val="a3"/>
        <w:jc w:val="center"/>
        <w:rPr>
          <w:rFonts w:ascii="Verdana" w:hAnsi="Verdana"/>
        </w:rPr>
      </w:pPr>
      <w:r w:rsidRPr="00E0270A">
        <w:rPr>
          <w:rFonts w:ascii="Verdana" w:hAnsi="Verdana"/>
          <w:b/>
          <w:bCs/>
        </w:rPr>
        <w:t xml:space="preserve">Житловий фонд </w:t>
      </w:r>
      <w:r w:rsidRPr="0077751A">
        <w:rPr>
          <w:rFonts w:ascii="Verdana" w:hAnsi="Verdana"/>
          <w:b/>
          <w:bCs/>
        </w:rPr>
        <w:t>регіону</w:t>
      </w:r>
    </w:p>
    <w:tbl>
      <w:tblPr>
        <w:tblW w:w="4999" w:type="pct"/>
        <w:tblCellSpacing w:w="7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5"/>
      </w:tblGrid>
      <w:tr w:rsidR="004F296E" w:rsidRPr="004F296E" w:rsidTr="001717CF">
        <w:trPr>
          <w:trHeight w:val="808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line="15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F296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line="15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color w:val="000000" w:themeColor="text1"/>
                <w:sz w:val="20"/>
                <w:szCs w:val="20"/>
              </w:rPr>
              <w:t>Загальна площа, млн.м</w:t>
            </w:r>
            <w:r w:rsidRPr="004F296E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698" w:rsidRPr="004F296E" w:rsidRDefault="001E1B78" w:rsidP="001E1B78">
            <w:pPr>
              <w:spacing w:line="150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У середньому </w:t>
            </w:r>
          </w:p>
          <w:p w:rsidR="001E1B78" w:rsidRPr="004F296E" w:rsidRDefault="001E1B78" w:rsidP="001E1B78">
            <w:pPr>
              <w:spacing w:line="15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color w:val="000000" w:themeColor="text1"/>
                <w:sz w:val="20"/>
                <w:szCs w:val="20"/>
              </w:rPr>
              <w:t>на одну особу, м</w:t>
            </w:r>
            <w:r w:rsidRPr="004F296E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line="150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color w:val="000000" w:themeColor="text1"/>
                <w:sz w:val="20"/>
                <w:szCs w:val="20"/>
              </w:rPr>
              <w:t>Кількість квартир, тис.</w:t>
            </w:r>
          </w:p>
        </w:tc>
      </w:tr>
      <w:tr w:rsidR="004F296E" w:rsidRPr="004F296E" w:rsidTr="00D53412">
        <w:trPr>
          <w:trHeight w:val="22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0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1995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662476" w:rsidRDefault="00662476" w:rsidP="00D53412">
            <w:pPr>
              <w:spacing w:before="40" w:after="40" w:line="150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48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0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0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780,4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0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0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49,1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0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0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820,9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0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1997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0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0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0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855,2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858,7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A356A5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1999</w:t>
            </w:r>
            <w:r w:rsidR="00E52CFC"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1E1B78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53412">
              <w:rPr>
                <w:rFonts w:ascii="Verdana" w:hAnsi="Verdana"/>
                <w:color w:val="000000" w:themeColor="text1"/>
                <w:sz w:val="20"/>
                <w:szCs w:val="20"/>
              </w:rPr>
              <w:t> х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1E1B78" w:rsidP="00D53412">
            <w:pPr>
              <w:spacing w:before="40" w:after="40" w:line="15" w:lineRule="atLeast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53412">
              <w:rPr>
                <w:rFonts w:ascii="Verdana" w:hAnsi="Verdana"/>
                <w:color w:val="000000" w:themeColor="text1"/>
                <w:sz w:val="20"/>
                <w:szCs w:val="20"/>
              </w:rPr>
              <w:t> х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A00DC9" w:rsidRDefault="001E1B78" w:rsidP="00A00DC9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D53412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  <w:r w:rsidR="00A00DC9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855,0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50,7</w:t>
            </w:r>
            <w:r w:rsidR="00E52CFC" w:rsidRPr="00D53412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858,0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51,0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860,5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847,4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86437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662476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</w:pPr>
            <w:r w:rsidRPr="00662476">
              <w:rPr>
                <w:rFonts w:ascii="Verdana" w:hAnsi="Verdana"/>
                <w:color w:val="000000" w:themeColor="text1"/>
                <w:sz w:val="20"/>
                <w:szCs w:val="20"/>
              </w:rPr>
              <w:t>50,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9</w:t>
            </w:r>
            <w:r w:rsidR="00E52CFC" w:rsidRPr="00D53412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F437CE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437CE">
              <w:rPr>
                <w:rFonts w:ascii="Verdana" w:hAnsi="Verdana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0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850,7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51,3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ru-RU"/>
              </w:rPr>
              <w:t>852,4</w:t>
            </w:r>
            <w:r w:rsidR="00E52CFC" w:rsidRPr="00D53412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51,9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855,5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before="40" w:after="40" w:line="15" w:lineRule="atLeas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52,3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859,1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52,9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866,0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53,4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870,1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54,3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877,3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55,0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881,3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651B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55,8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887,3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E52CFC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56,2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spacing w:before="40" w:after="40" w:line="15" w:lineRule="atLeast"/>
              <w:ind w:right="62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891,2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F437CE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57,3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22,8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901,4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1717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57,4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22,8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894,1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1717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58,2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23,1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901,6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4F296E" w:rsidRDefault="001E1B78" w:rsidP="001717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59,2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23,6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78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912,9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CF" w:rsidRPr="004F296E" w:rsidRDefault="001717CF" w:rsidP="001717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ru-RU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ru-RU"/>
              </w:rPr>
              <w:t>2018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CF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60,2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CF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24,0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CF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926,2</w:t>
            </w:r>
          </w:p>
        </w:tc>
      </w:tr>
      <w:tr w:rsidR="004F296E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CF" w:rsidRPr="004F296E" w:rsidRDefault="001717CF" w:rsidP="001717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ru-RU"/>
              </w:rPr>
            </w:pPr>
            <w:r w:rsidRPr="004F296E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ru-RU"/>
              </w:rPr>
              <w:t>2019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CF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62,0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CF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24,9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CF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950,6</w:t>
            </w:r>
          </w:p>
        </w:tc>
      </w:tr>
      <w:tr w:rsidR="00E34F06" w:rsidRPr="004F296E" w:rsidTr="00D53412">
        <w:trPr>
          <w:trHeight w:val="170"/>
          <w:tblCellSpacing w:w="7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F06" w:rsidRPr="00E34F06" w:rsidRDefault="00E34F06" w:rsidP="001717CF">
            <w:pPr>
              <w:spacing w:before="40" w:after="40" w:line="15" w:lineRule="atLea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F06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64,6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F06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26,1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F06" w:rsidRPr="00D53412" w:rsidRDefault="00662476" w:rsidP="00D53412">
            <w:pPr>
              <w:ind w:right="62"/>
              <w:jc w:val="right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994,5</w:t>
            </w:r>
          </w:p>
        </w:tc>
      </w:tr>
    </w:tbl>
    <w:p w:rsidR="000244D2" w:rsidRPr="004F296E" w:rsidRDefault="000244D2" w:rsidP="000244D2">
      <w:pPr>
        <w:ind w:right="-18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244D2" w:rsidRPr="004F296E" w:rsidRDefault="001E1B78" w:rsidP="00FE3095">
      <w:pPr>
        <w:snapToGrid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F296E">
        <w:rPr>
          <w:rFonts w:ascii="Verdana" w:hAnsi="Verdana"/>
          <w:color w:val="000000" w:themeColor="text1"/>
          <w:sz w:val="20"/>
          <w:szCs w:val="20"/>
          <w:vertAlign w:val="superscript"/>
          <w:lang w:val="ru-RU"/>
        </w:rPr>
        <w:t>1</w:t>
      </w:r>
      <w:r w:rsidR="000244D2" w:rsidRPr="004F296E">
        <w:rPr>
          <w:rFonts w:ascii="Verdana" w:hAnsi="Verdana"/>
          <w:color w:val="000000" w:themeColor="text1"/>
          <w:sz w:val="20"/>
          <w:szCs w:val="20"/>
        </w:rPr>
        <w:t xml:space="preserve"> Розробка звітності за 1999 рік не здійснювалась.</w:t>
      </w:r>
    </w:p>
    <w:p w:rsidR="000244D2" w:rsidRPr="004F296E" w:rsidRDefault="001E1B78" w:rsidP="00FE3095">
      <w:pPr>
        <w:snapToGrid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F296E">
        <w:rPr>
          <w:rFonts w:ascii="Verdana" w:hAnsi="Verdana"/>
          <w:color w:val="000000" w:themeColor="text1"/>
          <w:sz w:val="20"/>
          <w:szCs w:val="20"/>
          <w:vertAlign w:val="superscript"/>
          <w:lang w:val="ru-RU"/>
        </w:rPr>
        <w:t>2</w:t>
      </w:r>
      <w:r w:rsidR="000244D2" w:rsidRPr="004F296E">
        <w:rPr>
          <w:rFonts w:ascii="Verdana" w:hAnsi="Verdana"/>
          <w:color w:val="000000" w:themeColor="text1"/>
          <w:sz w:val="20"/>
          <w:szCs w:val="20"/>
        </w:rPr>
        <w:t xml:space="preserve"> Починаючи з 2001 року загальна площа визначається з урахуванням літніх приміщень із встановленими знижувальними коефіцієнтами.</w:t>
      </w:r>
    </w:p>
    <w:p w:rsidR="000244D2" w:rsidRPr="004F296E" w:rsidRDefault="001E1B78" w:rsidP="00FE3095">
      <w:pPr>
        <w:snapToGrid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F296E">
        <w:rPr>
          <w:rFonts w:ascii="Verdana" w:hAnsi="Verdana"/>
          <w:color w:val="000000" w:themeColor="text1"/>
          <w:sz w:val="20"/>
          <w:szCs w:val="20"/>
          <w:vertAlign w:val="superscript"/>
        </w:rPr>
        <w:t>3</w:t>
      </w:r>
      <w:r w:rsidR="000244D2" w:rsidRPr="004F296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80BAE" w:rsidRPr="004F296E">
        <w:rPr>
          <w:rFonts w:ascii="Verdana" w:hAnsi="Verdana"/>
          <w:color w:val="000000" w:themeColor="text1"/>
          <w:sz w:val="20"/>
          <w:szCs w:val="20"/>
        </w:rPr>
        <w:t xml:space="preserve">Починаючи з 2004 року до загальної площі житлового фонду та з 2005 року до </w:t>
      </w:r>
      <w:r w:rsidR="000244D2" w:rsidRPr="004F296E">
        <w:rPr>
          <w:rFonts w:ascii="Verdana" w:hAnsi="Verdana"/>
          <w:color w:val="000000" w:themeColor="text1"/>
          <w:sz w:val="20"/>
          <w:szCs w:val="20"/>
        </w:rPr>
        <w:t>кількості квартир</w:t>
      </w:r>
      <w:r w:rsidR="00BF587C" w:rsidRPr="004F296E">
        <w:rPr>
          <w:rFonts w:ascii="Verdana" w:hAnsi="Verdana"/>
          <w:color w:val="000000" w:themeColor="text1"/>
          <w:sz w:val="20"/>
          <w:szCs w:val="20"/>
        </w:rPr>
        <w:t xml:space="preserve"> у</w:t>
      </w:r>
      <w:r w:rsidR="000244D2" w:rsidRPr="004F296E">
        <w:rPr>
          <w:rFonts w:ascii="Verdana" w:hAnsi="Verdana"/>
          <w:color w:val="000000" w:themeColor="text1"/>
          <w:sz w:val="20"/>
          <w:szCs w:val="20"/>
        </w:rPr>
        <w:t>ключено дані підприємств-банкрутів та тих, що повністю припинили діяльність.</w:t>
      </w:r>
    </w:p>
    <w:p w:rsidR="00625668" w:rsidRPr="004F296E" w:rsidRDefault="00625668" w:rsidP="00625668">
      <w:pPr>
        <w:ind w:right="-18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427FF" w:rsidRDefault="00A427FF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</w:p>
    <w:p w:rsidR="00A427FF" w:rsidRDefault="00A427FF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</w:p>
    <w:p w:rsidR="00093201" w:rsidRDefault="00093201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</w:p>
    <w:p w:rsidR="00B93038" w:rsidRDefault="00B93038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</w:p>
    <w:p w:rsidR="00B93038" w:rsidRDefault="00B93038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  <w:bookmarkStart w:id="0" w:name="_GoBack"/>
      <w:bookmarkEnd w:id="0"/>
    </w:p>
    <w:p w:rsidR="00093201" w:rsidRDefault="00093201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</w:p>
    <w:p w:rsidR="00093201" w:rsidRDefault="00093201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</w:p>
    <w:p w:rsidR="00A427FF" w:rsidRDefault="00A427FF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</w:p>
    <w:p w:rsidR="000244D2" w:rsidRPr="004F296E" w:rsidRDefault="000244D2" w:rsidP="000244D2">
      <w:pPr>
        <w:jc w:val="center"/>
        <w:rPr>
          <w:rFonts w:ascii="Verdana" w:hAnsi="Verdana"/>
          <w:b/>
          <w:color w:val="000000" w:themeColor="text1"/>
          <w:lang w:eastAsia="uk-UA"/>
        </w:rPr>
      </w:pPr>
      <w:r w:rsidRPr="004F296E">
        <w:rPr>
          <w:rFonts w:ascii="Verdana" w:hAnsi="Verdana"/>
          <w:b/>
          <w:color w:val="000000" w:themeColor="text1"/>
          <w:lang w:eastAsia="uk-UA"/>
        </w:rPr>
        <w:lastRenderedPageBreak/>
        <w:t>Методологічні пояснення</w:t>
      </w:r>
    </w:p>
    <w:p w:rsidR="00FE2D31" w:rsidRPr="004F296E" w:rsidRDefault="00FE2D31" w:rsidP="00BF587C">
      <w:pPr>
        <w:ind w:firstLine="567"/>
        <w:jc w:val="center"/>
        <w:rPr>
          <w:rFonts w:ascii="Verdana" w:hAnsi="Verdana"/>
          <w:b/>
          <w:color w:val="000000" w:themeColor="text1"/>
          <w:lang w:eastAsia="uk-UA"/>
        </w:rPr>
      </w:pPr>
    </w:p>
    <w:p w:rsidR="00FE2D31" w:rsidRPr="004F296E" w:rsidRDefault="00FE2D31" w:rsidP="00BF587C">
      <w:pPr>
        <w:ind w:firstLine="567"/>
        <w:jc w:val="both"/>
        <w:rPr>
          <w:rFonts w:ascii="Verdana" w:hAnsi="Verdana"/>
          <w:color w:val="000000" w:themeColor="text1"/>
          <w:lang w:eastAsia="uk-UA"/>
        </w:rPr>
      </w:pPr>
      <w:r w:rsidRPr="004F296E">
        <w:rPr>
          <w:rFonts w:ascii="Verdana" w:hAnsi="Verdana"/>
          <w:b/>
          <w:bCs/>
          <w:color w:val="000000" w:themeColor="text1"/>
          <w:lang w:eastAsia="uk-UA"/>
        </w:rPr>
        <w:t>Житловий фонд</w:t>
      </w:r>
      <w:r w:rsidRPr="004F296E">
        <w:rPr>
          <w:rFonts w:ascii="Verdana" w:hAnsi="Verdana"/>
          <w:color w:val="000000" w:themeColor="text1"/>
          <w:lang w:eastAsia="uk-UA"/>
        </w:rPr>
        <w:t xml:space="preserve"> – сукупність житлових приміщень, </w:t>
      </w:r>
      <w:r w:rsidR="00B77D70">
        <w:rPr>
          <w:rFonts w:ascii="Verdana" w:hAnsi="Verdana"/>
          <w:color w:val="000000" w:themeColor="text1"/>
          <w:lang w:eastAsia="uk-UA"/>
        </w:rPr>
        <w:t>у</w:t>
      </w:r>
      <w:r w:rsidRPr="004F296E">
        <w:rPr>
          <w:rFonts w:ascii="Verdana" w:hAnsi="Verdana"/>
          <w:color w:val="000000" w:themeColor="text1"/>
          <w:lang w:eastAsia="uk-UA"/>
        </w:rPr>
        <w:t>ключаючи житлові будинки, спеціал</w:t>
      </w:r>
      <w:r w:rsidR="00BC67BB" w:rsidRPr="004F296E">
        <w:rPr>
          <w:rFonts w:ascii="Verdana" w:hAnsi="Verdana"/>
          <w:color w:val="000000" w:themeColor="text1"/>
          <w:lang w:eastAsia="uk-UA"/>
        </w:rPr>
        <w:t>ізова</w:t>
      </w:r>
      <w:r w:rsidRPr="004F296E">
        <w:rPr>
          <w:rFonts w:ascii="Verdana" w:hAnsi="Verdana"/>
          <w:color w:val="000000" w:themeColor="text1"/>
          <w:lang w:eastAsia="uk-UA"/>
        </w:rPr>
        <w:t xml:space="preserve">ні будинки (гуртожитки, </w:t>
      </w:r>
      <w:r w:rsidR="00BF587C" w:rsidRPr="004F296E">
        <w:rPr>
          <w:rFonts w:ascii="Verdana" w:hAnsi="Verdana"/>
          <w:color w:val="000000" w:themeColor="text1"/>
          <w:lang w:eastAsia="uk-UA"/>
        </w:rPr>
        <w:t xml:space="preserve">притулки, </w:t>
      </w:r>
      <w:r w:rsidRPr="004F296E">
        <w:rPr>
          <w:rFonts w:ascii="Verdana" w:hAnsi="Verdana"/>
          <w:color w:val="000000" w:themeColor="text1"/>
          <w:lang w:eastAsia="uk-UA"/>
        </w:rPr>
        <w:t xml:space="preserve">будинки-інтернати для громадян похилого віку та </w:t>
      </w:r>
      <w:r w:rsidR="00BC67BB" w:rsidRPr="004F296E">
        <w:rPr>
          <w:rFonts w:ascii="Verdana" w:hAnsi="Verdana"/>
          <w:color w:val="000000" w:themeColor="text1"/>
          <w:lang w:eastAsia="uk-UA"/>
        </w:rPr>
        <w:t xml:space="preserve">осіб з </w:t>
      </w:r>
      <w:r w:rsidRPr="004F296E">
        <w:rPr>
          <w:rFonts w:ascii="Verdana" w:hAnsi="Verdana"/>
          <w:color w:val="000000" w:themeColor="text1"/>
          <w:lang w:eastAsia="uk-UA"/>
        </w:rPr>
        <w:t>інвалід</w:t>
      </w:r>
      <w:r w:rsidR="00BC67BB" w:rsidRPr="004F296E">
        <w:rPr>
          <w:rFonts w:ascii="Verdana" w:hAnsi="Verdana"/>
          <w:color w:val="000000" w:themeColor="text1"/>
          <w:lang w:eastAsia="uk-UA"/>
        </w:rPr>
        <w:t>ністю</w:t>
      </w:r>
      <w:r w:rsidRPr="004F296E">
        <w:rPr>
          <w:rFonts w:ascii="Verdana" w:hAnsi="Verdana"/>
          <w:color w:val="000000" w:themeColor="text1"/>
          <w:lang w:eastAsia="uk-UA"/>
        </w:rPr>
        <w:t xml:space="preserve"> – дорослих і дітей, дитячі будинки, інтернати при школах і школи-інтернати), квартири, службові житлові приміщення, інші житлові приміщення в будівлях, придатних для проживання.</w:t>
      </w:r>
    </w:p>
    <w:p w:rsidR="00FE2D31" w:rsidRPr="004F296E" w:rsidRDefault="00FE2D31" w:rsidP="00BF587C">
      <w:pPr>
        <w:ind w:firstLine="567"/>
        <w:jc w:val="both"/>
        <w:rPr>
          <w:rFonts w:ascii="Verdana" w:hAnsi="Verdana"/>
          <w:color w:val="000000" w:themeColor="text1"/>
          <w:lang w:eastAsia="uk-UA"/>
        </w:rPr>
      </w:pPr>
      <w:r w:rsidRPr="004F296E">
        <w:rPr>
          <w:rFonts w:ascii="Verdana" w:hAnsi="Verdana"/>
          <w:color w:val="000000" w:themeColor="text1"/>
          <w:lang w:eastAsia="uk-UA"/>
        </w:rPr>
        <w:t>У складі житлового фонду не враховуються дачі, літні садові будиночки, спортивні та туристичні бази, мотелі, кемпінги, санаторії, будинки відпочинку, пансіонати, будинки для приїжджих, готелі, залізничні вагони й інші будівлі та приміщення, призначені для сезонного і тимчасового проживання, незалежно від часу проживання в них громадян.</w:t>
      </w:r>
    </w:p>
    <w:p w:rsidR="00FE2D31" w:rsidRPr="004F296E" w:rsidRDefault="00FE2D31" w:rsidP="00FE2D31">
      <w:pPr>
        <w:ind w:firstLine="567"/>
        <w:jc w:val="both"/>
        <w:rPr>
          <w:rFonts w:ascii="Verdana" w:hAnsi="Verdana"/>
          <w:color w:val="000000" w:themeColor="text1"/>
          <w:lang w:eastAsia="uk-UA"/>
        </w:rPr>
      </w:pPr>
      <w:r w:rsidRPr="004F296E">
        <w:rPr>
          <w:rFonts w:ascii="Verdana" w:hAnsi="Verdana"/>
          <w:b/>
          <w:bCs/>
          <w:color w:val="000000" w:themeColor="text1"/>
          <w:spacing w:val="-2"/>
          <w:lang w:eastAsia="uk-UA"/>
        </w:rPr>
        <w:t>Загальна площа житлових приміщень</w:t>
      </w:r>
      <w:r w:rsidRPr="004F296E">
        <w:rPr>
          <w:rFonts w:ascii="Verdana" w:hAnsi="Verdana"/>
          <w:color w:val="000000" w:themeColor="text1"/>
          <w:spacing w:val="-2"/>
          <w:lang w:eastAsia="uk-UA"/>
        </w:rPr>
        <w:t xml:space="preserve"> складається з площі житлових кімнат, підсобних приміщень (за винятком вхідних тамбурів в одноквартирних будинках) і літніх приміщень, підрахованих із такими знижувальними коефіцієнтами: для балконів і терас – 0,3; лоджій – 0,5; засклених балконів – 0,8; веранд, засклених лоджій і холодних комор – 1,0.</w:t>
      </w:r>
    </w:p>
    <w:p w:rsidR="00FE2D31" w:rsidRPr="004F296E" w:rsidRDefault="00FE2D31" w:rsidP="00FE2D31">
      <w:pPr>
        <w:ind w:firstLine="567"/>
        <w:jc w:val="both"/>
        <w:rPr>
          <w:rFonts w:ascii="Verdana" w:hAnsi="Verdana"/>
          <w:color w:val="000000" w:themeColor="text1"/>
          <w:lang w:eastAsia="uk-UA"/>
        </w:rPr>
      </w:pPr>
      <w:r w:rsidRPr="004F296E">
        <w:rPr>
          <w:rFonts w:ascii="Verdana" w:hAnsi="Verdana"/>
          <w:color w:val="000000" w:themeColor="text1"/>
          <w:spacing w:val="-2"/>
          <w:lang w:eastAsia="uk-UA"/>
        </w:rPr>
        <w:t xml:space="preserve">Підсобні приміщення – це приміщення кухні, ванної кімнати чи душової, санвузла, квартирного коридору чи прихожої, вбудованих у квартири </w:t>
      </w:r>
      <w:proofErr w:type="spellStart"/>
      <w:r w:rsidRPr="004F296E">
        <w:rPr>
          <w:rFonts w:ascii="Verdana" w:hAnsi="Verdana"/>
          <w:color w:val="000000" w:themeColor="text1"/>
          <w:spacing w:val="-2"/>
          <w:lang w:eastAsia="uk-UA"/>
        </w:rPr>
        <w:t>кладових</w:t>
      </w:r>
      <w:proofErr w:type="spellEnd"/>
      <w:r w:rsidRPr="004F296E">
        <w:rPr>
          <w:rFonts w:ascii="Verdana" w:hAnsi="Verdana"/>
          <w:color w:val="000000" w:themeColor="text1"/>
          <w:spacing w:val="-2"/>
          <w:lang w:eastAsia="uk-UA"/>
        </w:rPr>
        <w:t xml:space="preserve"> чи шаф.</w:t>
      </w:r>
    </w:p>
    <w:p w:rsidR="00FE2D31" w:rsidRPr="004F296E" w:rsidRDefault="00FE2D31" w:rsidP="00FE2D31">
      <w:pPr>
        <w:ind w:firstLine="567"/>
        <w:jc w:val="both"/>
        <w:rPr>
          <w:rFonts w:ascii="Verdana" w:hAnsi="Verdana"/>
          <w:color w:val="000000" w:themeColor="text1"/>
          <w:lang w:eastAsia="uk-UA"/>
        </w:rPr>
      </w:pPr>
      <w:r w:rsidRPr="004F296E">
        <w:rPr>
          <w:rFonts w:ascii="Verdana" w:hAnsi="Verdana"/>
          <w:color w:val="000000" w:themeColor="text1"/>
          <w:lang w:eastAsia="uk-UA"/>
        </w:rPr>
        <w:t xml:space="preserve">У гуртожитках до підсобних </w:t>
      </w:r>
      <w:r w:rsidRPr="0077751A">
        <w:rPr>
          <w:rFonts w:ascii="Verdana" w:hAnsi="Verdana"/>
          <w:color w:val="000000" w:themeColor="text1"/>
          <w:lang w:eastAsia="uk-UA"/>
        </w:rPr>
        <w:t>приміщень</w:t>
      </w:r>
      <w:r w:rsidR="00E06DA9" w:rsidRPr="0077751A">
        <w:rPr>
          <w:rFonts w:ascii="Verdana" w:hAnsi="Verdana"/>
          <w:lang w:val="ru-RU" w:eastAsia="uk-UA"/>
        </w:rPr>
        <w:t>,</w:t>
      </w:r>
      <w:r w:rsidRPr="0077751A">
        <w:rPr>
          <w:rFonts w:ascii="Verdana" w:hAnsi="Verdana"/>
          <w:color w:val="000000" w:themeColor="text1"/>
          <w:lang w:eastAsia="uk-UA"/>
        </w:rPr>
        <w:t xml:space="preserve"> крім вищевказаних</w:t>
      </w:r>
      <w:r w:rsidR="00E06DA9" w:rsidRPr="0077751A">
        <w:rPr>
          <w:rFonts w:ascii="Verdana" w:hAnsi="Verdana"/>
          <w:color w:val="000000" w:themeColor="text1"/>
          <w:lang w:val="ru-RU" w:eastAsia="uk-UA"/>
        </w:rPr>
        <w:t>,</w:t>
      </w:r>
      <w:r w:rsidRPr="0077751A">
        <w:rPr>
          <w:rFonts w:ascii="Verdana" w:hAnsi="Verdana"/>
          <w:color w:val="000000" w:themeColor="text1"/>
          <w:lang w:eastAsia="uk-UA"/>
        </w:rPr>
        <w:t xml:space="preserve"> належать приміщення культурно-побутового призначення і медичного</w:t>
      </w:r>
      <w:r w:rsidRPr="004F296E">
        <w:rPr>
          <w:rFonts w:ascii="Verdana" w:hAnsi="Verdana"/>
          <w:color w:val="000000" w:themeColor="text1"/>
          <w:lang w:eastAsia="uk-UA"/>
        </w:rPr>
        <w:t xml:space="preserve"> обслуговування.</w:t>
      </w:r>
    </w:p>
    <w:p w:rsidR="00FE2D31" w:rsidRPr="004F296E" w:rsidRDefault="00FE2D31" w:rsidP="00FE2D31">
      <w:pPr>
        <w:ind w:firstLine="567"/>
        <w:jc w:val="both"/>
        <w:rPr>
          <w:rFonts w:ascii="Verdana" w:hAnsi="Verdana"/>
          <w:color w:val="000000" w:themeColor="text1"/>
          <w:lang w:eastAsia="uk-UA"/>
        </w:rPr>
      </w:pPr>
      <w:r w:rsidRPr="004F296E">
        <w:rPr>
          <w:rFonts w:ascii="Verdana" w:hAnsi="Verdana"/>
          <w:color w:val="000000" w:themeColor="text1"/>
          <w:lang w:eastAsia="uk-UA"/>
        </w:rPr>
        <w:t xml:space="preserve">До загальної площі житлових приміщень не </w:t>
      </w:r>
      <w:proofErr w:type="spellStart"/>
      <w:r w:rsidRPr="004F296E">
        <w:rPr>
          <w:rFonts w:ascii="Verdana" w:hAnsi="Verdana"/>
          <w:color w:val="000000" w:themeColor="text1"/>
          <w:lang w:eastAsia="uk-UA"/>
        </w:rPr>
        <w:t>включа</w:t>
      </w:r>
      <w:proofErr w:type="spellEnd"/>
      <w:r w:rsidR="00BF587C" w:rsidRPr="004F296E">
        <w:rPr>
          <w:rFonts w:ascii="Verdana" w:hAnsi="Verdana"/>
          <w:color w:val="000000" w:themeColor="text1"/>
          <w:lang w:val="ru-RU" w:eastAsia="uk-UA"/>
        </w:rPr>
        <w:t>ю</w:t>
      </w:r>
      <w:proofErr w:type="spellStart"/>
      <w:r w:rsidRPr="004F296E">
        <w:rPr>
          <w:rFonts w:ascii="Verdana" w:hAnsi="Verdana"/>
          <w:color w:val="000000" w:themeColor="text1"/>
          <w:lang w:eastAsia="uk-UA"/>
        </w:rPr>
        <w:t>ть</w:t>
      </w:r>
      <w:proofErr w:type="spellEnd"/>
      <w:r w:rsidRPr="004F296E">
        <w:rPr>
          <w:rFonts w:ascii="Verdana" w:hAnsi="Verdana"/>
          <w:color w:val="000000" w:themeColor="text1"/>
          <w:lang w:eastAsia="uk-UA"/>
        </w:rPr>
        <w:t xml:space="preserve"> площ</w:t>
      </w:r>
      <w:r w:rsidR="00BF587C" w:rsidRPr="004F296E">
        <w:rPr>
          <w:rFonts w:ascii="Verdana" w:hAnsi="Verdana"/>
          <w:color w:val="000000" w:themeColor="text1"/>
          <w:lang w:val="ru-RU" w:eastAsia="uk-UA"/>
        </w:rPr>
        <w:t>у</w:t>
      </w:r>
      <w:r w:rsidRPr="004F296E">
        <w:rPr>
          <w:rFonts w:ascii="Verdana" w:hAnsi="Verdana"/>
          <w:color w:val="000000" w:themeColor="text1"/>
          <w:lang w:eastAsia="uk-UA"/>
        </w:rPr>
        <w:t>:</w:t>
      </w:r>
    </w:p>
    <w:p w:rsidR="00FE2D31" w:rsidRPr="004F296E" w:rsidRDefault="00FE2D31" w:rsidP="00FE2D31">
      <w:pPr>
        <w:ind w:firstLine="567"/>
        <w:jc w:val="both"/>
        <w:rPr>
          <w:rFonts w:ascii="Verdana" w:hAnsi="Verdana"/>
          <w:color w:val="000000" w:themeColor="text1"/>
          <w:lang w:eastAsia="uk-UA"/>
        </w:rPr>
      </w:pPr>
      <w:r w:rsidRPr="004F296E">
        <w:rPr>
          <w:rFonts w:ascii="Verdana" w:hAnsi="Verdana"/>
          <w:color w:val="000000" w:themeColor="text1"/>
          <w:lang w:eastAsia="uk-UA"/>
        </w:rPr>
        <w:t>– </w:t>
      </w:r>
      <w:r w:rsidRPr="004F296E">
        <w:rPr>
          <w:rFonts w:ascii="Verdana" w:hAnsi="Verdana"/>
          <w:color w:val="000000" w:themeColor="text1"/>
          <w:spacing w:val="4"/>
          <w:lang w:eastAsia="uk-UA"/>
        </w:rPr>
        <w:t>сходових кліток, ліфтових холів, тамбурів, загальних коридорів, вестибюлів, галерей;</w:t>
      </w:r>
    </w:p>
    <w:p w:rsidR="000244D2" w:rsidRPr="00EF0588" w:rsidRDefault="00FE2D31" w:rsidP="00FE2D31">
      <w:pPr>
        <w:ind w:firstLine="567"/>
        <w:jc w:val="both"/>
        <w:rPr>
          <w:rFonts w:ascii="Verdana" w:hAnsi="Verdana"/>
          <w:lang w:eastAsia="uk-UA"/>
        </w:rPr>
      </w:pPr>
      <w:r w:rsidRPr="004F296E">
        <w:rPr>
          <w:rFonts w:ascii="Verdana" w:hAnsi="Verdana"/>
          <w:color w:val="000000" w:themeColor="text1"/>
          <w:lang w:eastAsia="uk-UA"/>
        </w:rPr>
        <w:t>–</w:t>
      </w:r>
      <w:r w:rsidR="00BF587C" w:rsidRPr="004F296E">
        <w:rPr>
          <w:rFonts w:ascii="Verdana" w:hAnsi="Verdana"/>
          <w:color w:val="000000" w:themeColor="text1"/>
          <w:lang w:val="en-US" w:eastAsia="uk-UA"/>
        </w:rPr>
        <w:t> </w:t>
      </w:r>
      <w:r w:rsidRPr="004F296E">
        <w:rPr>
          <w:rFonts w:ascii="Verdana" w:hAnsi="Verdana"/>
          <w:color w:val="000000" w:themeColor="text1"/>
          <w:lang w:eastAsia="uk-UA"/>
        </w:rPr>
        <w:t>нежилих приміщень, зайнятих житлово</w:t>
      </w:r>
      <w:r w:rsidRPr="00FE2D31">
        <w:rPr>
          <w:rFonts w:ascii="Verdana" w:hAnsi="Verdana"/>
          <w:lang w:eastAsia="uk-UA"/>
        </w:rPr>
        <w:t xml:space="preserve">-експлуатаційними організаціями, магазинами, відділеннями зв’язку, дитячими установами, підприємствами служби побуту </w:t>
      </w:r>
      <w:proofErr w:type="spellStart"/>
      <w:r w:rsidR="00BF587C" w:rsidRPr="00BF587C">
        <w:rPr>
          <w:rFonts w:ascii="Verdana" w:hAnsi="Verdana"/>
          <w:lang w:val="ru-RU" w:eastAsia="uk-UA"/>
        </w:rPr>
        <w:t>тощо</w:t>
      </w:r>
      <w:proofErr w:type="spellEnd"/>
      <w:r w:rsidRPr="00FE2D31">
        <w:rPr>
          <w:rFonts w:ascii="Verdana" w:hAnsi="Verdana"/>
          <w:lang w:eastAsia="uk-UA"/>
        </w:rPr>
        <w:t>.</w:t>
      </w:r>
    </w:p>
    <w:sectPr w:rsidR="000244D2" w:rsidRPr="00EF0588" w:rsidSect="00E06DA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21"/>
    <w:rsid w:val="000244D2"/>
    <w:rsid w:val="00093201"/>
    <w:rsid w:val="000A64A9"/>
    <w:rsid w:val="001717CF"/>
    <w:rsid w:val="001D768E"/>
    <w:rsid w:val="001E1B78"/>
    <w:rsid w:val="00216F7F"/>
    <w:rsid w:val="0029690F"/>
    <w:rsid w:val="004628C7"/>
    <w:rsid w:val="004B4AB3"/>
    <w:rsid w:val="004F296E"/>
    <w:rsid w:val="0060456E"/>
    <w:rsid w:val="00625668"/>
    <w:rsid w:val="00644ABE"/>
    <w:rsid w:val="00651BCF"/>
    <w:rsid w:val="00662476"/>
    <w:rsid w:val="00662698"/>
    <w:rsid w:val="00664E01"/>
    <w:rsid w:val="00746068"/>
    <w:rsid w:val="0077751A"/>
    <w:rsid w:val="007B42E9"/>
    <w:rsid w:val="007F1B8A"/>
    <w:rsid w:val="008561C8"/>
    <w:rsid w:val="00985A4A"/>
    <w:rsid w:val="009C238F"/>
    <w:rsid w:val="00A00DC9"/>
    <w:rsid w:val="00A06A1B"/>
    <w:rsid w:val="00A356A5"/>
    <w:rsid w:val="00A427FF"/>
    <w:rsid w:val="00A46286"/>
    <w:rsid w:val="00A80BAE"/>
    <w:rsid w:val="00A92657"/>
    <w:rsid w:val="00AE5FD7"/>
    <w:rsid w:val="00B77D70"/>
    <w:rsid w:val="00B93038"/>
    <w:rsid w:val="00BC67BB"/>
    <w:rsid w:val="00BF587C"/>
    <w:rsid w:val="00D53412"/>
    <w:rsid w:val="00D62237"/>
    <w:rsid w:val="00E06DA9"/>
    <w:rsid w:val="00E34F06"/>
    <w:rsid w:val="00E52CFC"/>
    <w:rsid w:val="00E93FA3"/>
    <w:rsid w:val="00EB7B52"/>
    <w:rsid w:val="00EE2721"/>
    <w:rsid w:val="00EF0588"/>
    <w:rsid w:val="00F437CE"/>
    <w:rsid w:val="00FE2D31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45C63-83E4-4B90-A3E9-3B5B66C0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272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F058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0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S.Ponomarenko</dc:creator>
  <cp:keywords/>
  <dc:description/>
  <cp:lastModifiedBy>Администратор</cp:lastModifiedBy>
  <cp:revision>3</cp:revision>
  <cp:lastPrinted>2018-02-16T13:36:00Z</cp:lastPrinted>
  <dcterms:created xsi:type="dcterms:W3CDTF">2021-07-13T10:30:00Z</dcterms:created>
  <dcterms:modified xsi:type="dcterms:W3CDTF">2021-07-13T10:32:00Z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