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E314A1">
        <w:rPr>
          <w:rFonts w:ascii="Calibri" w:hAnsi="Calibri"/>
          <w:b/>
          <w:bCs/>
          <w:sz w:val="24"/>
          <w:szCs w:val="24"/>
          <w:lang w:val="uk-UA"/>
        </w:rPr>
        <w:t>чер</w:t>
      </w:r>
      <w:r w:rsidR="002A1061">
        <w:rPr>
          <w:rFonts w:ascii="Calibri" w:hAnsi="Calibri"/>
          <w:b/>
          <w:bCs/>
          <w:sz w:val="24"/>
          <w:szCs w:val="24"/>
          <w:lang w:val="uk-UA"/>
        </w:rPr>
        <w:t>в</w:t>
      </w:r>
      <w:r w:rsidR="00BC3998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1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5038" w:type="pct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1422"/>
        <w:gridCol w:w="1486"/>
        <w:gridCol w:w="1360"/>
        <w:gridCol w:w="1550"/>
        <w:gridCol w:w="1290"/>
      </w:tblGrid>
      <w:tr w:rsidR="0074428C" w:rsidRPr="00A543B5" w:rsidTr="006264FF">
        <w:trPr>
          <w:trHeight w:val="195"/>
          <w:tblHeader/>
          <w:tblCellSpacing w:w="20" w:type="dxa"/>
        </w:trPr>
        <w:tc>
          <w:tcPr>
            <w:tcW w:w="1314" w:type="pct"/>
            <w:vMerge w:val="restart"/>
            <w:shd w:val="clear" w:color="auto" w:fill="auto"/>
          </w:tcPr>
          <w:p w:rsidR="00A13D1F" w:rsidRPr="009A36BD" w:rsidRDefault="00A13D1F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471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74428C" w:rsidRPr="001F6C56" w:rsidTr="006264FF">
        <w:trPr>
          <w:trHeight w:val="376"/>
          <w:tblHeader/>
          <w:tblCellSpacing w:w="20" w:type="dxa"/>
        </w:trPr>
        <w:tc>
          <w:tcPr>
            <w:tcW w:w="1314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22EDA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7C2E92" w:rsidP="00E314A1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3F21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E314A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чер</w:t>
            </w:r>
            <w:r w:rsidR="002A10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822E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D962DA" w:rsidRDefault="00D962DA" w:rsidP="00D962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3F219E" w:rsidP="00E314A1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r w:rsidR="00E314A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чер</w:t>
            </w:r>
            <w:r w:rsidR="002A10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D962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D962DA"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40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6264FF" w:rsidRPr="00A543B5" w:rsidTr="006264FF">
        <w:trPr>
          <w:trHeight w:val="44"/>
          <w:tblCellSpacing w:w="20" w:type="dxa"/>
        </w:trPr>
        <w:tc>
          <w:tcPr>
            <w:tcW w:w="1314" w:type="pct"/>
            <w:shd w:val="clear" w:color="auto" w:fill="auto"/>
            <w:vAlign w:val="center"/>
          </w:tcPr>
          <w:p w:rsidR="006264FF" w:rsidRPr="00623CFF" w:rsidRDefault="006264FF" w:rsidP="006264FF">
            <w:pPr>
              <w:spacing w:before="20"/>
              <w:rPr>
                <w:rFonts w:ascii="Calibri" w:hAnsi="Calibri" w:cs="Times New Roman CYR"/>
                <w:b/>
                <w:bCs/>
                <w:sz w:val="22"/>
                <w:szCs w:val="22"/>
                <w:lang w:val="uk-UA" w:eastAsia="uk-UA"/>
              </w:rPr>
            </w:pPr>
            <w:proofErr w:type="spellStart"/>
            <w:r w:rsidRPr="00623CFF">
              <w:rPr>
                <w:rFonts w:ascii="Calibri" w:hAnsi="Calibri" w:cs="Times New Roman CYR"/>
                <w:b/>
                <w:bCs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2107EC" w:rsidRDefault="006264FF" w:rsidP="006264FF">
            <w:pPr>
              <w:spacing w:before="20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2107EC">
              <w:rPr>
                <w:rFonts w:ascii="Calibri" w:hAnsi="Calibri" w:cs="Times New Roman CYR"/>
                <w:b/>
                <w:sz w:val="22"/>
                <w:szCs w:val="22"/>
              </w:rPr>
              <w:t>1307455</w:t>
            </w:r>
            <w:r w:rsidR="002107EC" w:rsidRPr="002107EC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2107EC">
              <w:rPr>
                <w:rFonts w:ascii="Calibri" w:hAnsi="Calibri" w:cs="Times New Roman CYR"/>
                <w:b/>
                <w:sz w:val="22"/>
                <w:szCs w:val="22"/>
              </w:rPr>
              <w:t>9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2107EC" w:rsidRDefault="006264FF" w:rsidP="006264FF">
            <w:pPr>
              <w:spacing w:before="2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2107EC">
              <w:rPr>
                <w:rFonts w:ascii="Calibri" w:hAnsi="Calibri" w:cs="Times New Roman CYR"/>
                <w:b/>
                <w:sz w:val="22"/>
                <w:szCs w:val="22"/>
              </w:rPr>
              <w:t>128</w:t>
            </w:r>
            <w:r w:rsidR="002107EC" w:rsidRPr="002107EC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2107EC">
              <w:rPr>
                <w:rFonts w:ascii="Calibri" w:hAnsi="Calibri" w:cs="Times New Roman CYR"/>
                <w:b/>
                <w:sz w:val="22"/>
                <w:szCs w:val="22"/>
              </w:rPr>
              <w:t>6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2107EC" w:rsidRDefault="006264FF" w:rsidP="006264FF">
            <w:pPr>
              <w:spacing w:before="2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2107EC">
              <w:rPr>
                <w:rFonts w:ascii="Calibri" w:hAnsi="Calibri" w:cs="Times New Roman CYR"/>
                <w:b/>
                <w:sz w:val="22"/>
                <w:szCs w:val="22"/>
              </w:rPr>
              <w:t>2063129</w:t>
            </w:r>
            <w:r w:rsidR="002107EC" w:rsidRPr="002107EC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2107EC">
              <w:rPr>
                <w:rFonts w:ascii="Calibri" w:hAnsi="Calibri" w:cs="Times New Roman CYR"/>
                <w:b/>
                <w:sz w:val="22"/>
                <w:szCs w:val="22"/>
              </w:rPr>
              <w:t>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2107EC" w:rsidRDefault="006264FF" w:rsidP="006264FF">
            <w:pPr>
              <w:spacing w:before="2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2107EC">
              <w:rPr>
                <w:rFonts w:ascii="Calibri" w:hAnsi="Calibri" w:cs="Times New Roman CYR"/>
                <w:b/>
                <w:sz w:val="22"/>
                <w:szCs w:val="22"/>
              </w:rPr>
              <w:t>139</w:t>
            </w:r>
            <w:r w:rsidR="002107EC" w:rsidRPr="002107EC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2107EC">
              <w:rPr>
                <w:rFonts w:ascii="Calibri" w:hAnsi="Calibri" w:cs="Times New Roman CYR"/>
                <w:b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2107EC" w:rsidRDefault="002107EC" w:rsidP="006264FF">
            <w:pPr>
              <w:spacing w:before="2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2107EC">
              <w:rPr>
                <w:rFonts w:ascii="Calibri" w:hAnsi="Calibri" w:cs="Times New Roman CYR"/>
                <w:b/>
                <w:sz w:val="22"/>
                <w:szCs w:val="22"/>
              </w:rPr>
              <w:t>–</w:t>
            </w:r>
            <w:r w:rsidR="006264FF" w:rsidRPr="002107EC">
              <w:rPr>
                <w:rFonts w:ascii="Calibri" w:hAnsi="Calibri" w:cs="Times New Roman CYR"/>
                <w:b/>
                <w:sz w:val="22"/>
                <w:szCs w:val="22"/>
              </w:rPr>
              <w:t>755674</w:t>
            </w:r>
            <w:r w:rsidRPr="002107EC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="006264FF" w:rsidRPr="002107EC">
              <w:rPr>
                <w:rFonts w:ascii="Calibri" w:hAnsi="Calibri" w:cs="Times New Roman CYR"/>
                <w:b/>
                <w:sz w:val="22"/>
                <w:szCs w:val="22"/>
              </w:rPr>
              <w:t xml:space="preserve">0 </w:t>
            </w:r>
          </w:p>
        </w:tc>
      </w:tr>
      <w:tr w:rsidR="006264FF" w:rsidRPr="00A543B5" w:rsidTr="006264FF">
        <w:trPr>
          <w:trHeight w:val="139"/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Pr="00623CFF" w:rsidRDefault="006264FF" w:rsidP="006264F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у</w:t>
            </w:r>
            <w:proofErr w:type="gram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 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Австрія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27226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35845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8618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4166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102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431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177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3735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Алжир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1344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869B8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1342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Бангладеш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3829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15349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11520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Бельгія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20334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15412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4921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rHeight w:val="207"/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Білорусь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19675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228818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222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209142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264FF" w:rsidRPr="00A543B5" w:rsidTr="006264FF">
        <w:trPr>
          <w:trHeight w:val="41"/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Болгарія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4105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6129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2024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Бразилія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251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bookmarkStart w:id="0" w:name="_GoBack"/>
            <w:bookmarkEnd w:id="0"/>
            <w:r w:rsidRPr="006869B8">
              <w:rPr>
                <w:rFonts w:ascii="Calibri" w:hAnsi="Calibri" w:cs="Times New Roman CYR"/>
                <w:sz w:val="22"/>
                <w:szCs w:val="22"/>
              </w:rPr>
              <w:t>6560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6539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В'єтнам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1635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4912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3276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Гонконг,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Особливий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адміністративний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район Китаю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1905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263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1642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Греція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2231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241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6936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4704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Грузія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2316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231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2085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Данія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86017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152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35913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175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50104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Еквадор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212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17501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17459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Естонія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4507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180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3191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1316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Єгипет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13799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3791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63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10007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Ємен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2513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2513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Ізраїль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3579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2106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85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1473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Індія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37246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201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22430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14816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Індонезія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1114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3104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1989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Ірак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3576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3576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Іран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Ісламська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16568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4686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1308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596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15260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2178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2247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242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Ісландія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1459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1402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Іспанія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13169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25662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12493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Італія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17825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170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64595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46770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1967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37918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990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35951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Камбоджа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1648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1622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1359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2810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1451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34413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788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243858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209444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Колумбія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2004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1963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Коста‒Рика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6950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6950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Латвія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10251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7920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2330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Литва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13752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42420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102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28668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Ліван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9335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1691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9330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Лівія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2943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2943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Малаві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13125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67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13025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Малайзія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170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4295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4124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3167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2176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81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990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Мексика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3865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4250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4232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М’янма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2651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2483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Нідерланди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39904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184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31296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8607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Німеччина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169787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226899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57111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Норвегія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666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4722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4055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Об’єднані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Арабські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Емірати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2035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1470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565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Пакистан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528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3364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3140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102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2612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Панама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1374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638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1374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Перу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248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1753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1663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Африка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416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23392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23267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Північна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Македонія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82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1411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1334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Польща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357465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403735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46270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Португалія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7736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3845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230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3890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Корея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341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9566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9224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Молдова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17365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1195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16169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Російська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Федерація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13781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22426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8644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Румунія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24466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21100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171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3365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Саудівська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Аравія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3221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1253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1968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Сербія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2245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154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5779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3534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Словаччина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48721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170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36676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172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12045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Словенія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2416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5965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157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3549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Ірландії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8262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26658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18396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7382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69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35218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27836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Таїланд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226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2759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151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2533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Провінція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Китаю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282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62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5681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5399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Того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1651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2582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1651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Pr="00E314A1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  <w:lang w:val="uk-UA"/>
              </w:rPr>
              <w:t>Туніс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2309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338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183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1971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Туреччина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13682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115055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101373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Угорщина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74697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41442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218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33254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Фінляндія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1089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5997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4908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Франція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12619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202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19672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7053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Хорватія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2475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458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198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2016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Чехія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98955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163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65709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233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33245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Чилі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224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134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1503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1279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Швейцарія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2428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27929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25501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Швеція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5581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183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10615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123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5033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Японія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270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318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9714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2107EC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>9443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="006264FF" w:rsidRPr="006869B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6264FF" w:rsidRPr="00A543B5" w:rsidTr="006264FF">
        <w:trPr>
          <w:tblCellSpacing w:w="20" w:type="dxa"/>
        </w:trPr>
        <w:tc>
          <w:tcPr>
            <w:tcW w:w="1314" w:type="pct"/>
            <w:shd w:val="clear" w:color="auto" w:fill="auto"/>
            <w:vAlign w:val="bottom"/>
          </w:tcPr>
          <w:p w:rsidR="006264FF" w:rsidRDefault="006264FF" w:rsidP="006264FF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719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15640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11126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89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6264FF" w:rsidRPr="006869B8" w:rsidRDefault="006264FF" w:rsidP="006264FF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869B8">
              <w:rPr>
                <w:rFonts w:ascii="Calibri" w:hAnsi="Calibri" w:cs="Times New Roman CYR"/>
                <w:sz w:val="22"/>
                <w:szCs w:val="22"/>
              </w:rPr>
              <w:t>4513</w:t>
            </w:r>
            <w:r w:rsidR="002107E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869B8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</w:tbl>
    <w:p w:rsidR="00B063F2" w:rsidRPr="00042048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sectPr w:rsidR="00B063F2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86" w:rsidRDefault="00DC3B86">
      <w:r>
        <w:separator/>
      </w:r>
    </w:p>
  </w:endnote>
  <w:endnote w:type="continuationSeparator" w:id="0">
    <w:p w:rsidR="00DC3B86" w:rsidRDefault="00DC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86" w:rsidRDefault="00DC3B86">
      <w:r>
        <w:separator/>
      </w:r>
    </w:p>
  </w:footnote>
  <w:footnote w:type="continuationSeparator" w:id="0">
    <w:p w:rsidR="00DC3B86" w:rsidRDefault="00DC3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4FF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264FF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264FF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6264FF" w:rsidRPr="004F0087" w:rsidRDefault="006264F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70F8"/>
    <w:rsid w:val="0006732D"/>
    <w:rsid w:val="00067839"/>
    <w:rsid w:val="00067C7C"/>
    <w:rsid w:val="00070B18"/>
    <w:rsid w:val="00081623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4070"/>
    <w:rsid w:val="00114F75"/>
    <w:rsid w:val="00115027"/>
    <w:rsid w:val="00115CEB"/>
    <w:rsid w:val="00117DCF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6883"/>
    <w:rsid w:val="00177059"/>
    <w:rsid w:val="001778EC"/>
    <w:rsid w:val="001779B7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D016B"/>
    <w:rsid w:val="001D1522"/>
    <w:rsid w:val="001E2CCF"/>
    <w:rsid w:val="001E6937"/>
    <w:rsid w:val="001E7917"/>
    <w:rsid w:val="001F1259"/>
    <w:rsid w:val="001F1E74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42DE"/>
    <w:rsid w:val="00344DC3"/>
    <w:rsid w:val="00344FFC"/>
    <w:rsid w:val="00346415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ED8"/>
    <w:rsid w:val="003C62D5"/>
    <w:rsid w:val="003D4859"/>
    <w:rsid w:val="003E1C00"/>
    <w:rsid w:val="003E3F71"/>
    <w:rsid w:val="003F0453"/>
    <w:rsid w:val="003F0FE0"/>
    <w:rsid w:val="003F1203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457A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7081A"/>
    <w:rsid w:val="00570B83"/>
    <w:rsid w:val="00572FB0"/>
    <w:rsid w:val="00573938"/>
    <w:rsid w:val="00573987"/>
    <w:rsid w:val="0057427A"/>
    <w:rsid w:val="0058114D"/>
    <w:rsid w:val="005812FD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E0885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455B"/>
    <w:rsid w:val="00606600"/>
    <w:rsid w:val="00606EC2"/>
    <w:rsid w:val="00607B33"/>
    <w:rsid w:val="00613938"/>
    <w:rsid w:val="00621CC3"/>
    <w:rsid w:val="00623CFF"/>
    <w:rsid w:val="006242A3"/>
    <w:rsid w:val="006264FF"/>
    <w:rsid w:val="006310DF"/>
    <w:rsid w:val="006322D8"/>
    <w:rsid w:val="00633B64"/>
    <w:rsid w:val="006340DF"/>
    <w:rsid w:val="00637B16"/>
    <w:rsid w:val="006433B7"/>
    <w:rsid w:val="0064429C"/>
    <w:rsid w:val="00644BC5"/>
    <w:rsid w:val="00645CBE"/>
    <w:rsid w:val="00646B9F"/>
    <w:rsid w:val="006471FB"/>
    <w:rsid w:val="00651D34"/>
    <w:rsid w:val="00652F23"/>
    <w:rsid w:val="006577F2"/>
    <w:rsid w:val="00657D4B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24C8"/>
    <w:rsid w:val="0080548D"/>
    <w:rsid w:val="008061A7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11F"/>
    <w:rsid w:val="00860221"/>
    <w:rsid w:val="008604FC"/>
    <w:rsid w:val="00861B59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BCF"/>
    <w:rsid w:val="00B33E30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5D5A"/>
    <w:rsid w:val="00B72A98"/>
    <w:rsid w:val="00B7565D"/>
    <w:rsid w:val="00B77D41"/>
    <w:rsid w:val="00B80A7B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3396"/>
    <w:rsid w:val="00BA4D69"/>
    <w:rsid w:val="00BA6BF4"/>
    <w:rsid w:val="00BB1DB9"/>
    <w:rsid w:val="00BB24BA"/>
    <w:rsid w:val="00BB3EDF"/>
    <w:rsid w:val="00BB6503"/>
    <w:rsid w:val="00BC06BE"/>
    <w:rsid w:val="00BC3998"/>
    <w:rsid w:val="00BC551E"/>
    <w:rsid w:val="00BD0253"/>
    <w:rsid w:val="00BD3B7C"/>
    <w:rsid w:val="00BD75A7"/>
    <w:rsid w:val="00BE28FD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C23D2"/>
    <w:rsid w:val="00DC23EC"/>
    <w:rsid w:val="00DC3B86"/>
    <w:rsid w:val="00DC4B2F"/>
    <w:rsid w:val="00DC51B5"/>
    <w:rsid w:val="00DC6808"/>
    <w:rsid w:val="00DD1123"/>
    <w:rsid w:val="00DD145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FDD0-E8A5-449F-89BE-F7AEBF6F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2413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5</cp:revision>
  <cp:lastPrinted>2016-04-13T14:03:00Z</cp:lastPrinted>
  <dcterms:created xsi:type="dcterms:W3CDTF">2021-08-09T13:37:00Z</dcterms:created>
  <dcterms:modified xsi:type="dcterms:W3CDTF">2021-08-10T08:08:00Z</dcterms:modified>
</cp:coreProperties>
</file>