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86" w:rsidRPr="00564C76" w:rsidRDefault="007F6886" w:rsidP="00564C76">
      <w:pPr>
        <w:pageBreakBefore/>
        <w:jc w:val="center"/>
        <w:rPr>
          <w:rFonts w:asciiTheme="minorHAnsi" w:hAnsiTheme="minorHAnsi"/>
          <w:b/>
          <w:sz w:val="28"/>
          <w:szCs w:val="20"/>
          <w:lang w:eastAsia="ru-RU"/>
        </w:rPr>
      </w:pPr>
      <w:r w:rsidRPr="00564C76">
        <w:rPr>
          <w:rFonts w:asciiTheme="minorHAnsi" w:hAnsiTheme="minorHAnsi"/>
          <w:b/>
          <w:sz w:val="28"/>
          <w:szCs w:val="20"/>
          <w:lang w:eastAsia="ru-RU"/>
        </w:rPr>
        <w:t>ОСНОВНІ ПОКАЗНИКИ</w:t>
      </w:r>
      <w:r w:rsidR="00564C76">
        <w:rPr>
          <w:rFonts w:asciiTheme="minorHAnsi" w:hAnsiTheme="minorHAnsi"/>
          <w:b/>
          <w:sz w:val="28"/>
          <w:szCs w:val="20"/>
          <w:lang w:eastAsia="ru-RU"/>
        </w:rPr>
        <w:t xml:space="preserve"> </w:t>
      </w:r>
      <w:r w:rsidRPr="00564C76">
        <w:rPr>
          <w:rFonts w:asciiTheme="minorHAnsi" w:hAnsiTheme="minorHAnsi"/>
          <w:b/>
          <w:sz w:val="28"/>
          <w:szCs w:val="20"/>
          <w:lang w:eastAsia="ru-RU"/>
        </w:rPr>
        <w:t>СОЦІАЛЬНО-ЕКОНОМІЧНОГО РОЗВИТКУ</w:t>
      </w:r>
    </w:p>
    <w:p w:rsidR="007F6886" w:rsidRPr="00564C76" w:rsidRDefault="007F6886" w:rsidP="007F6886">
      <w:pPr>
        <w:jc w:val="center"/>
        <w:rPr>
          <w:rFonts w:asciiTheme="minorHAnsi" w:hAnsiTheme="minorHAnsi"/>
          <w:b/>
          <w:sz w:val="28"/>
          <w:szCs w:val="20"/>
          <w:lang w:eastAsia="ru-RU"/>
        </w:rPr>
      </w:pPr>
      <w:r w:rsidRPr="00564C76">
        <w:rPr>
          <w:rFonts w:asciiTheme="minorHAnsi" w:hAnsiTheme="minorHAnsi"/>
          <w:b/>
          <w:sz w:val="28"/>
          <w:szCs w:val="20"/>
          <w:lang w:eastAsia="ru-RU"/>
        </w:rPr>
        <w:t>ЛЬВІВСЬКОЇ ОБЛАСТІ</w:t>
      </w:r>
    </w:p>
    <w:p w:rsidR="009826C6" w:rsidRPr="009826C6" w:rsidRDefault="009826C6" w:rsidP="009826C6">
      <w:pPr>
        <w:jc w:val="center"/>
        <w:rPr>
          <w:b/>
          <w:sz w:val="28"/>
          <w:szCs w:val="20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7"/>
        <w:gridCol w:w="1355"/>
        <w:gridCol w:w="1052"/>
        <w:gridCol w:w="1056"/>
        <w:gridCol w:w="1166"/>
        <w:gridCol w:w="1392"/>
      </w:tblGrid>
      <w:tr w:rsidR="009826C6" w:rsidRPr="009826C6" w:rsidTr="00CB51DE">
        <w:trPr>
          <w:cantSplit/>
          <w:trHeight w:val="212"/>
        </w:trPr>
        <w:tc>
          <w:tcPr>
            <w:tcW w:w="18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6C6" w:rsidRPr="009826C6" w:rsidRDefault="009826C6" w:rsidP="009826C6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6" w:rsidRPr="009826C6" w:rsidRDefault="009826C6" w:rsidP="009826C6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 xml:space="preserve">Фактично </w:t>
            </w:r>
          </w:p>
          <w:p w:rsidR="009826C6" w:rsidRPr="009826C6" w:rsidRDefault="009826C6" w:rsidP="009826C6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за січень-травень 2021р.</w:t>
            </w:r>
          </w:p>
        </w:tc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26C6" w:rsidRPr="009826C6" w:rsidRDefault="009826C6" w:rsidP="009826C6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Темпи зростання (зниження), %</w:t>
            </w:r>
          </w:p>
        </w:tc>
      </w:tr>
      <w:tr w:rsidR="009826C6" w:rsidRPr="009826C6" w:rsidTr="00CB51DE">
        <w:trPr>
          <w:cantSplit/>
          <w:trHeight w:val="397"/>
        </w:trPr>
        <w:tc>
          <w:tcPr>
            <w:tcW w:w="18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6" w:rsidRPr="009826C6" w:rsidRDefault="009826C6" w:rsidP="009826C6">
            <w:pPr>
              <w:spacing w:line="256" w:lineRule="auto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6" w:rsidRPr="009826C6" w:rsidRDefault="009826C6" w:rsidP="009826C6">
            <w:pPr>
              <w:spacing w:line="256" w:lineRule="auto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26C6" w:rsidRPr="009826C6" w:rsidRDefault="009826C6" w:rsidP="009826C6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травень 2021р. до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6C6" w:rsidRPr="009826C6" w:rsidRDefault="009826C6" w:rsidP="009826C6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січень-травень</w:t>
            </w:r>
          </w:p>
          <w:p w:rsidR="009826C6" w:rsidRPr="009826C6" w:rsidRDefault="009826C6" w:rsidP="009826C6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 xml:space="preserve">2021р. </w:t>
            </w:r>
          </w:p>
          <w:p w:rsidR="009826C6" w:rsidRPr="009826C6" w:rsidRDefault="009826C6" w:rsidP="009826C6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до січня-травня 2020р.</w:t>
            </w:r>
          </w:p>
        </w:tc>
        <w:tc>
          <w:tcPr>
            <w:tcW w:w="72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26C6" w:rsidRPr="009826C6" w:rsidRDefault="009826C6" w:rsidP="009826C6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довідково:</w:t>
            </w:r>
          </w:p>
          <w:p w:rsidR="009826C6" w:rsidRPr="009826C6" w:rsidRDefault="009826C6" w:rsidP="009826C6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січень-травень 2020р. до січня-травня 2019р.</w:t>
            </w:r>
          </w:p>
        </w:tc>
      </w:tr>
      <w:tr w:rsidR="009826C6" w:rsidRPr="009826C6" w:rsidTr="00CB51DE">
        <w:trPr>
          <w:cantSplit/>
          <w:trHeight w:val="581"/>
        </w:trPr>
        <w:tc>
          <w:tcPr>
            <w:tcW w:w="18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6" w:rsidRPr="009826C6" w:rsidRDefault="009826C6" w:rsidP="009826C6">
            <w:pPr>
              <w:spacing w:line="256" w:lineRule="auto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6" w:rsidRPr="009826C6" w:rsidRDefault="009826C6" w:rsidP="009826C6">
            <w:pPr>
              <w:spacing w:line="256" w:lineRule="auto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546" w:type="pct"/>
            <w:vAlign w:val="center"/>
            <w:hideMark/>
          </w:tcPr>
          <w:p w:rsidR="009826C6" w:rsidRPr="009826C6" w:rsidRDefault="009826C6" w:rsidP="009826C6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квітня 2021р.</w:t>
            </w:r>
          </w:p>
        </w:tc>
        <w:tc>
          <w:tcPr>
            <w:tcW w:w="548" w:type="pct"/>
            <w:tcBorders>
              <w:right w:val="single" w:sz="4" w:space="0" w:color="auto"/>
            </w:tcBorders>
            <w:vAlign w:val="center"/>
            <w:hideMark/>
          </w:tcPr>
          <w:p w:rsidR="009826C6" w:rsidRPr="009826C6" w:rsidRDefault="009826C6" w:rsidP="009826C6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травня</w:t>
            </w:r>
          </w:p>
          <w:p w:rsidR="009826C6" w:rsidRPr="009826C6" w:rsidRDefault="009826C6" w:rsidP="009826C6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2020р.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6" w:rsidRPr="009826C6" w:rsidRDefault="009826C6" w:rsidP="009826C6">
            <w:pPr>
              <w:spacing w:line="256" w:lineRule="auto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26C6" w:rsidRPr="009826C6" w:rsidRDefault="009826C6" w:rsidP="009826C6">
            <w:pPr>
              <w:spacing w:line="256" w:lineRule="auto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Середньомісячна заробітна плата одного працівника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номінальна, грн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11548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101,0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134,9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 w:cs="Arial CYR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120</w:t>
            </w:r>
            <w:r w:rsidRPr="009826C6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0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 w:cs="Arial CYR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112</w:t>
            </w:r>
            <w:r w:rsidRPr="009826C6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0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реальна, %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100,8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123,9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111,3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108,8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Заборгованість із виплати заробітної плати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6</w:t>
            </w: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– усього,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 xml:space="preserve"> </w:t>
            </w: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254</w:t>
            </w:r>
            <w:r w:rsidRPr="009826C6">
              <w:rPr>
                <w:rFonts w:asciiTheme="minorHAnsi" w:hAnsiTheme="minorHAnsi"/>
                <w:sz w:val="25"/>
                <w:szCs w:val="25"/>
                <w:lang w:val="en-US"/>
              </w:rPr>
              <w:t>,</w:t>
            </w:r>
            <w:r w:rsidRPr="009826C6">
              <w:rPr>
                <w:rFonts w:asciiTheme="minorHAnsi" w:hAnsiTheme="minorHAnsi"/>
                <w:sz w:val="25"/>
                <w:szCs w:val="25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110,3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393,8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val="en-US" w:eastAsia="ru-RU"/>
              </w:rPr>
              <w:t>x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Індекс споживчих цін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val="en-US"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101,5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109,6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105,8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101,7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ind w:right="-113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9826C6"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Обсяг реалізованої промислової</w:t>
            </w: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продукції</w:t>
            </w:r>
            <w:r w:rsidRPr="009826C6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noProof/>
                <w:kern w:val="16"/>
                <w:sz w:val="25"/>
                <w:szCs w:val="25"/>
                <w:lang w:eastAsia="ru-RU"/>
              </w:rPr>
              <w:t>42748,4</w:t>
            </w:r>
            <w:r w:rsidRPr="009826C6">
              <w:rPr>
                <w:rFonts w:asciiTheme="minorHAnsi" w:hAnsiTheme="minorHAnsi"/>
                <w:noProof/>
                <w:kern w:val="16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Індекс промислової продукції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98,9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109,1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107,5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103,4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Індекс сільськогосподарської продукції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val="ru-RU" w:eastAsia="ru-RU"/>
              </w:rPr>
              <w:t>104,5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val="ru-RU" w:eastAsia="ru-RU"/>
              </w:rPr>
              <w:t>94,7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ind w:right="-108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Обсяг виробленої буді</w:t>
            </w:r>
            <w:bookmarkStart w:id="0" w:name="_GoBack"/>
            <w:bookmarkEnd w:id="0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вельної продукції, </w:t>
            </w:r>
            <w:proofErr w:type="spellStart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тис.грн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green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val="ru-RU" w:eastAsia="ru-RU"/>
              </w:rPr>
              <w:t>3710985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Індекс будівельної продукції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 xml:space="preserve">х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95,9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104,6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Експорт товарів, </w:t>
            </w:r>
            <w:proofErr w:type="spellStart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854,9</w:t>
            </w:r>
            <w:r w:rsidRPr="009826C6">
              <w:rPr>
                <w:rFonts w:asciiTheme="minorHAnsi" w:hAnsiTheme="minorHAnsi"/>
                <w:kern w:val="16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117,0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101,8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Імпорт товарів, </w:t>
            </w:r>
            <w:proofErr w:type="spellStart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1313,3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131,6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112,8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 (+, –)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‒458,4</w:t>
            </w:r>
            <w:r w:rsidRPr="009826C6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9826C6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Вантажообіг, </w:t>
            </w:r>
            <w:proofErr w:type="spellStart"/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млн.ткм</w:t>
            </w:r>
            <w:proofErr w:type="spellEnd"/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val="en-US"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4298,4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100,2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139,7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117,1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83,4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proofErr w:type="spellStart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Пасажирообіг</w:t>
            </w:r>
            <w:proofErr w:type="spellEnd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9826C6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млн.пас.км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956,5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156,0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660,0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107,8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50,1</w:t>
            </w:r>
          </w:p>
        </w:tc>
      </w:tr>
      <w:tr w:rsidR="009826C6" w:rsidRPr="009826C6" w:rsidTr="00CB51DE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Оборот роздрібної торгівлі,</w:t>
            </w:r>
            <w:r w:rsidRPr="009826C6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green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val="en-US" w:eastAsia="ru-RU"/>
              </w:rPr>
              <w:t>32788</w:t>
            </w: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,</w:t>
            </w:r>
            <w:r w:rsidRPr="009826C6">
              <w:rPr>
                <w:rFonts w:asciiTheme="minorHAnsi" w:hAnsiTheme="minorHAnsi"/>
                <w:sz w:val="25"/>
                <w:szCs w:val="25"/>
                <w:lang w:val="en-US"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green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112,3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green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140,5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highlight w:val="green"/>
                <w:lang w:val="ru-RU"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val="ru-RU" w:eastAsia="ru-RU"/>
              </w:rPr>
              <w:t>119,6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6C6" w:rsidRPr="009826C6" w:rsidRDefault="009826C6" w:rsidP="009826C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9826C6">
              <w:rPr>
                <w:rFonts w:asciiTheme="minorHAnsi" w:hAnsiTheme="minorHAnsi"/>
                <w:sz w:val="25"/>
                <w:szCs w:val="25"/>
                <w:lang w:eastAsia="ru-RU"/>
              </w:rPr>
              <w:t>99,5</w:t>
            </w:r>
          </w:p>
        </w:tc>
      </w:tr>
    </w:tbl>
    <w:p w:rsidR="009826C6" w:rsidRDefault="009826C6" w:rsidP="009826C6">
      <w:pPr>
        <w:ind w:right="-710"/>
        <w:rPr>
          <w:rFonts w:asciiTheme="minorHAnsi" w:hAnsiTheme="minorHAnsi"/>
          <w:sz w:val="16"/>
          <w:szCs w:val="20"/>
          <w:vertAlign w:val="superscript"/>
          <w:lang w:val="ru-RU" w:eastAsia="ru-RU"/>
        </w:rPr>
      </w:pPr>
      <w:r w:rsidRPr="009826C6">
        <w:rPr>
          <w:rFonts w:asciiTheme="minorHAnsi" w:hAnsiTheme="minorHAnsi"/>
          <w:sz w:val="16"/>
          <w:szCs w:val="20"/>
          <w:vertAlign w:val="superscript"/>
          <w:lang w:val="ru-RU" w:eastAsia="ru-RU"/>
        </w:rPr>
        <w:t>_</w:t>
      </w:r>
    </w:p>
    <w:p w:rsidR="009826C6" w:rsidRPr="009826C6" w:rsidRDefault="009826C6" w:rsidP="009826C6">
      <w:pPr>
        <w:ind w:right="-710"/>
        <w:rPr>
          <w:rFonts w:asciiTheme="minorHAnsi" w:hAnsiTheme="minorHAnsi"/>
          <w:sz w:val="16"/>
          <w:szCs w:val="20"/>
          <w:vertAlign w:val="superscript"/>
          <w:lang w:val="ru-RU" w:eastAsia="ru-RU"/>
        </w:rPr>
      </w:pPr>
      <w:r w:rsidRPr="009826C6">
        <w:rPr>
          <w:rFonts w:asciiTheme="minorHAnsi" w:hAnsiTheme="minorHAnsi"/>
          <w:sz w:val="16"/>
          <w:szCs w:val="20"/>
          <w:vertAlign w:val="superscript"/>
          <w:lang w:val="ru-RU" w:eastAsia="ru-RU"/>
        </w:rPr>
        <w:t>______________________________________</w:t>
      </w:r>
    </w:p>
    <w:p w:rsidR="009826C6" w:rsidRPr="009826C6" w:rsidRDefault="009826C6" w:rsidP="009826C6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9826C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 xml:space="preserve">1 </w:t>
      </w:r>
      <w:r w:rsidRPr="009826C6">
        <w:rPr>
          <w:rFonts w:asciiTheme="minorHAnsi" w:hAnsiTheme="minorHAnsi"/>
          <w:sz w:val="20"/>
          <w:szCs w:val="20"/>
          <w:lang w:eastAsia="ru-RU"/>
        </w:rPr>
        <w:t>Дані за січень-квітень 20</w:t>
      </w:r>
      <w:r w:rsidRPr="009826C6">
        <w:rPr>
          <w:rFonts w:asciiTheme="minorHAnsi" w:hAnsiTheme="minorHAnsi"/>
          <w:sz w:val="20"/>
          <w:szCs w:val="20"/>
          <w:lang w:val="ru-RU" w:eastAsia="ru-RU"/>
        </w:rPr>
        <w:t>21</w:t>
      </w:r>
      <w:r w:rsidRPr="009826C6">
        <w:rPr>
          <w:rFonts w:asciiTheme="minorHAnsi" w:hAnsiTheme="minorHAnsi"/>
          <w:sz w:val="20"/>
          <w:szCs w:val="20"/>
          <w:lang w:eastAsia="ru-RU"/>
        </w:rPr>
        <w:t>р.</w:t>
      </w:r>
    </w:p>
    <w:p w:rsidR="009826C6" w:rsidRPr="009826C6" w:rsidRDefault="009826C6" w:rsidP="009826C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9826C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2</w:t>
      </w:r>
      <w:r w:rsidRPr="009826C6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9826C6">
        <w:rPr>
          <w:rFonts w:asciiTheme="minorHAnsi" w:hAnsiTheme="minorHAnsi"/>
          <w:sz w:val="20"/>
          <w:szCs w:val="20"/>
          <w:lang w:eastAsia="ru-RU"/>
        </w:rPr>
        <w:t>Квітень 2021р. у % до березня 2021р.</w:t>
      </w:r>
    </w:p>
    <w:p w:rsidR="009826C6" w:rsidRPr="009826C6" w:rsidRDefault="009826C6" w:rsidP="009826C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9826C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3</w:t>
      </w:r>
      <w:r w:rsidRPr="009826C6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9826C6">
        <w:rPr>
          <w:rFonts w:asciiTheme="minorHAnsi" w:hAnsiTheme="minorHAnsi"/>
          <w:sz w:val="20"/>
          <w:szCs w:val="20"/>
          <w:lang w:eastAsia="ru-RU"/>
        </w:rPr>
        <w:t>Квітень 2021р. у % до квітня 2020р.</w:t>
      </w:r>
    </w:p>
    <w:p w:rsidR="009826C6" w:rsidRPr="009826C6" w:rsidRDefault="009826C6" w:rsidP="009826C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9826C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4</w:t>
      </w:r>
      <w:r w:rsidRPr="009826C6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9826C6">
        <w:rPr>
          <w:rFonts w:asciiTheme="minorHAnsi" w:hAnsiTheme="minorHAnsi"/>
          <w:sz w:val="20"/>
          <w:szCs w:val="20"/>
          <w:lang w:eastAsia="ru-RU"/>
        </w:rPr>
        <w:t>Січень-квітень 2021р. у % до січня-квітня 2020р.</w:t>
      </w:r>
    </w:p>
    <w:p w:rsidR="009826C6" w:rsidRPr="009826C6" w:rsidRDefault="009826C6" w:rsidP="009826C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9826C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5</w:t>
      </w:r>
      <w:r w:rsidRPr="009826C6">
        <w:rPr>
          <w:rFonts w:asciiTheme="minorHAnsi" w:hAnsiTheme="minorHAnsi"/>
          <w:sz w:val="20"/>
          <w:szCs w:val="20"/>
          <w:lang w:eastAsia="ru-RU"/>
        </w:rPr>
        <w:t xml:space="preserve"> Січень-квітень 2020р. у % до січня-квітня 2019р.</w:t>
      </w:r>
    </w:p>
    <w:p w:rsidR="009826C6" w:rsidRPr="009826C6" w:rsidRDefault="009826C6" w:rsidP="009826C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9826C6">
        <w:rPr>
          <w:rFonts w:asciiTheme="minorHAnsi" w:hAnsiTheme="minorHAnsi"/>
          <w:sz w:val="20"/>
          <w:szCs w:val="20"/>
          <w:vertAlign w:val="superscript"/>
          <w:lang w:eastAsia="ru-RU"/>
        </w:rPr>
        <w:t>6</w:t>
      </w:r>
      <w:r w:rsidRPr="009826C6">
        <w:rPr>
          <w:rFonts w:asciiTheme="minorHAnsi" w:hAnsiTheme="minorHAnsi"/>
          <w:sz w:val="20"/>
          <w:szCs w:val="20"/>
          <w:lang w:eastAsia="ru-RU"/>
        </w:rPr>
        <w:t xml:space="preserve"> Станом на 1 травня</w:t>
      </w:r>
      <w:r w:rsidRPr="009826C6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9826C6">
        <w:rPr>
          <w:rFonts w:asciiTheme="minorHAnsi" w:hAnsiTheme="minorHAnsi"/>
          <w:sz w:val="20"/>
          <w:szCs w:val="20"/>
          <w:lang w:eastAsia="ru-RU"/>
        </w:rPr>
        <w:t>2021р.</w:t>
      </w:r>
    </w:p>
    <w:p w:rsidR="007F6886" w:rsidRPr="009826C6" w:rsidRDefault="009826C6" w:rsidP="009826C6">
      <w:pPr>
        <w:rPr>
          <w:rFonts w:asciiTheme="minorHAnsi" w:hAnsiTheme="minorHAnsi"/>
          <w:b/>
          <w:sz w:val="28"/>
          <w:szCs w:val="20"/>
          <w:highlight w:val="yellow"/>
          <w:lang w:eastAsia="ru-RU"/>
        </w:rPr>
      </w:pPr>
      <w:r w:rsidRPr="009826C6">
        <w:rPr>
          <w:rFonts w:asciiTheme="minorHAnsi" w:hAnsiTheme="minorHAnsi"/>
          <w:sz w:val="20"/>
          <w:szCs w:val="20"/>
          <w:vertAlign w:val="superscript"/>
          <w:lang w:eastAsia="ru-RU"/>
        </w:rPr>
        <w:t>7</w:t>
      </w:r>
      <w:r w:rsidRPr="009826C6">
        <w:rPr>
          <w:rFonts w:asciiTheme="minorHAnsi" w:hAnsiTheme="minorHAnsi"/>
          <w:sz w:val="20"/>
          <w:szCs w:val="20"/>
          <w:lang w:eastAsia="ru-RU"/>
        </w:rPr>
        <w:t xml:space="preserve"> Травень у % до грудня попереднього року.</w:t>
      </w:r>
    </w:p>
    <w:sectPr w:rsidR="007F6886" w:rsidRPr="009826C6" w:rsidSect="00564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86"/>
    <w:rsid w:val="00564C76"/>
    <w:rsid w:val="005B6F04"/>
    <w:rsid w:val="0070704F"/>
    <w:rsid w:val="007E50B4"/>
    <w:rsid w:val="007E61B2"/>
    <w:rsid w:val="007F6886"/>
    <w:rsid w:val="009826C6"/>
    <w:rsid w:val="00B90DE7"/>
    <w:rsid w:val="00D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2A37-83A3-4531-90F2-E9BF13C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6968</Words>
  <Characters>3972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3</cp:revision>
  <dcterms:created xsi:type="dcterms:W3CDTF">2021-07-06T05:56:00Z</dcterms:created>
  <dcterms:modified xsi:type="dcterms:W3CDTF">2021-07-06T05:59:00Z</dcterms:modified>
</cp:coreProperties>
</file>